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DA22A" w14:textId="77777777" w:rsidR="00724D41" w:rsidRDefault="00724D41" w:rsidP="00724D41">
      <w:pPr>
        <w:jc w:val="right"/>
        <w:rPr>
          <w:rFonts w:ascii="Rockwell" w:hAnsi="Rockwell"/>
          <w:sz w:val="32"/>
          <w:szCs w:val="32"/>
        </w:rPr>
      </w:pPr>
      <w:r>
        <w:rPr>
          <w:rFonts w:ascii="Rockwell" w:hAnsi="Rockwell"/>
          <w:sz w:val="32"/>
          <w:szCs w:val="32"/>
        </w:rPr>
        <w:t>Name: _________________________</w:t>
      </w:r>
    </w:p>
    <w:p w14:paraId="08130864" w14:textId="77777777" w:rsidR="00D16C2A" w:rsidRDefault="00206DDA" w:rsidP="00724D41">
      <w:pPr>
        <w:jc w:val="center"/>
        <w:rPr>
          <w:rFonts w:ascii="Rockwell" w:hAnsi="Rockwell"/>
          <w:sz w:val="32"/>
          <w:szCs w:val="32"/>
        </w:rPr>
      </w:pPr>
      <w:r>
        <w:rPr>
          <w:rFonts w:ascii="Rockwell" w:hAnsi="Rockwell"/>
          <w:sz w:val="32"/>
          <w:szCs w:val="32"/>
        </w:rPr>
        <w:t xml:space="preserve">Utopian versus Dystopian </w:t>
      </w:r>
    </w:p>
    <w:p w14:paraId="5D35A3B7" w14:textId="77777777" w:rsidR="00206DDA" w:rsidRDefault="00206DDA" w:rsidP="00206DDA">
      <w:pPr>
        <w:jc w:val="center"/>
        <w:rPr>
          <w:rFonts w:ascii="Rockwell" w:hAnsi="Rockwell"/>
          <w:sz w:val="32"/>
          <w:szCs w:val="32"/>
        </w:rPr>
      </w:pPr>
      <w:r>
        <w:rPr>
          <w:rFonts w:ascii="Rockwell" w:hAnsi="Rockwell"/>
          <w:noProof/>
          <w:sz w:val="32"/>
          <w:szCs w:val="32"/>
        </w:rPr>
        <w:drawing>
          <wp:inline distT="0" distB="0" distL="0" distR="0" wp14:anchorId="13121E54" wp14:editId="39224A5E">
            <wp:extent cx="8782050" cy="585787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14:paraId="6DD696F1" w14:textId="77777777" w:rsidR="00D16C2A" w:rsidRDefault="00D16C2A" w:rsidP="00D16C2A">
      <w:pPr>
        <w:rPr>
          <w:rFonts w:ascii="Rockwell" w:hAnsi="Rockwell"/>
          <w:sz w:val="32"/>
          <w:szCs w:val="32"/>
        </w:rPr>
      </w:pPr>
      <w:r>
        <w:rPr>
          <w:rFonts w:ascii="Rockwell" w:hAnsi="Rockwell"/>
          <w:sz w:val="32"/>
          <w:szCs w:val="32"/>
        </w:rPr>
        <w:lastRenderedPageBreak/>
        <w:t>Utopia- __________________________________________________________________________________</w:t>
      </w:r>
    </w:p>
    <w:p w14:paraId="5C69983B" w14:textId="77777777" w:rsidR="00D16C2A" w:rsidRDefault="00D16C2A" w:rsidP="00D16C2A">
      <w:pPr>
        <w:rPr>
          <w:rFonts w:ascii="Rockwell" w:hAnsi="Rockwell"/>
          <w:sz w:val="32"/>
          <w:szCs w:val="32"/>
        </w:rPr>
      </w:pPr>
      <w:r>
        <w:rPr>
          <w:rFonts w:ascii="Rockwell" w:hAnsi="Rockwell"/>
          <w:sz w:val="32"/>
          <w:szCs w:val="32"/>
        </w:rPr>
        <w:t>Dystopia- ________________________________________________________________________________</w:t>
      </w:r>
    </w:p>
    <w:p w14:paraId="5A01F2DD" w14:textId="77777777" w:rsidR="00D16C2A" w:rsidRPr="00D16C2A" w:rsidRDefault="00D16C2A" w:rsidP="00D16C2A">
      <w:pPr>
        <w:rPr>
          <w:rFonts w:ascii="Rockwell" w:hAnsi="Rockwell"/>
        </w:rPr>
      </w:pPr>
    </w:p>
    <w:p w14:paraId="17CEE38D" w14:textId="77777777" w:rsidR="00D16C2A" w:rsidRDefault="00D16C2A" w:rsidP="00D16C2A">
      <w:pPr>
        <w:rPr>
          <w:rFonts w:ascii="Rockwell" w:hAnsi="Rockwell"/>
          <w:sz w:val="28"/>
          <w:szCs w:val="28"/>
        </w:rPr>
      </w:pPr>
      <w:r w:rsidRPr="00D16C2A">
        <w:rPr>
          <w:rFonts w:ascii="Rockwell" w:hAnsi="Rockwell"/>
          <w:sz w:val="28"/>
          <w:szCs w:val="28"/>
        </w:rPr>
        <w:t>Create a quick rhyme/song/rap/poem to help you remember the differences between a utopia and dystopia</w:t>
      </w:r>
    </w:p>
    <w:p w14:paraId="76FC54D6" w14:textId="77777777" w:rsidR="00D16C2A" w:rsidRDefault="00D16C2A">
      <w:pPr>
        <w:rPr>
          <w:rFonts w:ascii="Rockwell" w:hAnsi="Rockwell"/>
          <w:sz w:val="28"/>
          <w:szCs w:val="28"/>
        </w:rPr>
      </w:pPr>
      <w:r>
        <w:rPr>
          <w:rFonts w:ascii="Rockwell" w:hAnsi="Rockwell"/>
          <w:sz w:val="28"/>
          <w:szCs w:val="28"/>
        </w:rPr>
        <w:br w:type="page"/>
      </w:r>
    </w:p>
    <w:p w14:paraId="494F93EC" w14:textId="77777777" w:rsidR="00D16C2A" w:rsidRDefault="00D16C2A" w:rsidP="00D16C2A">
      <w:pPr>
        <w:rPr>
          <w:rFonts w:ascii="Rockwell" w:hAnsi="Rockwell"/>
          <w:sz w:val="28"/>
          <w:szCs w:val="28"/>
        </w:rPr>
      </w:pPr>
      <w:r>
        <w:rPr>
          <w:rFonts w:ascii="Rockwell" w:hAnsi="Rockwell"/>
          <w:sz w:val="28"/>
          <w:szCs w:val="28"/>
        </w:rPr>
        <w:lastRenderedPageBreak/>
        <w:t>Components of Jonas’s society</w:t>
      </w:r>
    </w:p>
    <w:tbl>
      <w:tblPr>
        <w:tblStyle w:val="TableGrid"/>
        <w:tblW w:w="0" w:type="auto"/>
        <w:tblLook w:val="04A0" w:firstRow="1" w:lastRow="0" w:firstColumn="1" w:lastColumn="0" w:noHBand="0" w:noVBand="1"/>
      </w:tblPr>
      <w:tblGrid>
        <w:gridCol w:w="4796"/>
        <w:gridCol w:w="2039"/>
        <w:gridCol w:w="7555"/>
      </w:tblGrid>
      <w:tr w:rsidR="00D16C2A" w14:paraId="33EB604E" w14:textId="77777777" w:rsidTr="00D16C2A">
        <w:tc>
          <w:tcPr>
            <w:tcW w:w="4796" w:type="dxa"/>
          </w:tcPr>
          <w:p w14:paraId="0CEA9A15" w14:textId="77777777" w:rsidR="00D16C2A" w:rsidRPr="00D16C2A" w:rsidRDefault="00D16C2A" w:rsidP="00D16C2A">
            <w:pPr>
              <w:rPr>
                <w:rFonts w:ascii="Rockwell" w:hAnsi="Rockwell"/>
                <w:sz w:val="24"/>
                <w:szCs w:val="24"/>
              </w:rPr>
            </w:pPr>
            <w:r w:rsidRPr="00D16C2A">
              <w:rPr>
                <w:rFonts w:ascii="Rockwell" w:hAnsi="Rockwell"/>
                <w:sz w:val="24"/>
                <w:szCs w:val="24"/>
              </w:rPr>
              <w:t>Text Evidence</w:t>
            </w:r>
          </w:p>
        </w:tc>
        <w:tc>
          <w:tcPr>
            <w:tcW w:w="2039" w:type="dxa"/>
          </w:tcPr>
          <w:p w14:paraId="1F25C6D6" w14:textId="77777777" w:rsidR="00D16C2A" w:rsidRPr="00D16C2A" w:rsidRDefault="00D16C2A" w:rsidP="00D16C2A">
            <w:pPr>
              <w:rPr>
                <w:rFonts w:ascii="Rockwell" w:hAnsi="Rockwell"/>
                <w:sz w:val="24"/>
                <w:szCs w:val="24"/>
              </w:rPr>
            </w:pPr>
            <w:r w:rsidRPr="00D16C2A">
              <w:rPr>
                <w:rFonts w:ascii="Rockwell" w:hAnsi="Rockwell"/>
                <w:sz w:val="24"/>
                <w:szCs w:val="24"/>
              </w:rPr>
              <w:t>Page Number</w:t>
            </w:r>
          </w:p>
        </w:tc>
        <w:tc>
          <w:tcPr>
            <w:tcW w:w="7555" w:type="dxa"/>
          </w:tcPr>
          <w:p w14:paraId="0749C3DB" w14:textId="77777777" w:rsidR="00D16C2A" w:rsidRPr="00D16C2A" w:rsidRDefault="00D16C2A" w:rsidP="00D16C2A">
            <w:pPr>
              <w:rPr>
                <w:rFonts w:ascii="Rockwell" w:hAnsi="Rockwell"/>
                <w:sz w:val="24"/>
                <w:szCs w:val="24"/>
              </w:rPr>
            </w:pPr>
            <w:r w:rsidRPr="00D16C2A">
              <w:rPr>
                <w:rFonts w:ascii="Rockwell" w:hAnsi="Rockwell"/>
                <w:sz w:val="24"/>
                <w:szCs w:val="24"/>
              </w:rPr>
              <w:t>Analysis (How does this quote fit into my understanding of a utopian or dystopian society? What does this evidence show about Jonas’s society?)</w:t>
            </w:r>
          </w:p>
        </w:tc>
      </w:tr>
      <w:tr w:rsidR="00D16C2A" w14:paraId="0CF20515" w14:textId="77777777" w:rsidTr="00D16C2A">
        <w:tc>
          <w:tcPr>
            <w:tcW w:w="4796" w:type="dxa"/>
          </w:tcPr>
          <w:p w14:paraId="67DA6F91" w14:textId="77777777" w:rsidR="00D16C2A" w:rsidRPr="00D16C2A" w:rsidRDefault="00D16C2A" w:rsidP="00724D41">
            <w:pPr>
              <w:spacing w:line="276" w:lineRule="auto"/>
              <w:rPr>
                <w:rFonts w:ascii="Rockwell" w:hAnsi="Rockwell"/>
                <w:sz w:val="24"/>
                <w:szCs w:val="24"/>
              </w:rPr>
            </w:pPr>
            <w:r>
              <w:rPr>
                <w:rFonts w:ascii="Rockwell" w:hAnsi="Rockwell"/>
                <w:sz w:val="24"/>
                <w:szCs w:val="24"/>
              </w:rPr>
              <w:t xml:space="preserve">“… </w:t>
            </w:r>
            <w:r w:rsidR="00724D41">
              <w:rPr>
                <w:rFonts w:ascii="Rockwell" w:hAnsi="Rockwell"/>
                <w:sz w:val="24"/>
                <w:szCs w:val="24"/>
              </w:rPr>
              <w:t>All</w:t>
            </w:r>
            <w:r>
              <w:rPr>
                <w:rFonts w:ascii="Rockwell" w:hAnsi="Rockwell"/>
                <w:sz w:val="24"/>
                <w:szCs w:val="24"/>
              </w:rPr>
              <w:t xml:space="preserve"> the citizens had been ordered to go into the nearest building and stay there</w:t>
            </w:r>
            <w:r w:rsidR="00724D41">
              <w:rPr>
                <w:rFonts w:ascii="Rockwell" w:hAnsi="Rockwell"/>
                <w:sz w:val="24"/>
                <w:szCs w:val="24"/>
              </w:rPr>
              <w:t>.”</w:t>
            </w:r>
            <w:r>
              <w:rPr>
                <w:rFonts w:ascii="Rockwell" w:hAnsi="Rockwell"/>
                <w:sz w:val="24"/>
                <w:szCs w:val="24"/>
              </w:rPr>
              <w:t xml:space="preserve"> </w:t>
            </w:r>
          </w:p>
        </w:tc>
        <w:tc>
          <w:tcPr>
            <w:tcW w:w="2039" w:type="dxa"/>
          </w:tcPr>
          <w:p w14:paraId="41F708B5" w14:textId="77777777" w:rsidR="00D16C2A" w:rsidRPr="00D16C2A" w:rsidRDefault="00D16C2A" w:rsidP="00D16C2A">
            <w:pPr>
              <w:rPr>
                <w:rFonts w:ascii="Rockwell" w:hAnsi="Rockwell"/>
                <w:sz w:val="24"/>
                <w:szCs w:val="24"/>
              </w:rPr>
            </w:pPr>
            <w:r>
              <w:rPr>
                <w:rFonts w:ascii="Rockwell" w:hAnsi="Rockwell"/>
                <w:sz w:val="24"/>
                <w:szCs w:val="24"/>
              </w:rPr>
              <w:t>2</w:t>
            </w:r>
          </w:p>
        </w:tc>
        <w:tc>
          <w:tcPr>
            <w:tcW w:w="7555" w:type="dxa"/>
          </w:tcPr>
          <w:p w14:paraId="3D15EB56" w14:textId="77777777" w:rsidR="00D16C2A" w:rsidRPr="00D16C2A" w:rsidRDefault="00D16C2A" w:rsidP="00D16C2A">
            <w:pPr>
              <w:rPr>
                <w:rFonts w:ascii="Rockwell" w:hAnsi="Rockwell"/>
                <w:sz w:val="24"/>
                <w:szCs w:val="24"/>
              </w:rPr>
            </w:pPr>
          </w:p>
        </w:tc>
      </w:tr>
      <w:tr w:rsidR="00D16C2A" w14:paraId="2D876890" w14:textId="77777777" w:rsidTr="00D16C2A">
        <w:tc>
          <w:tcPr>
            <w:tcW w:w="4796" w:type="dxa"/>
          </w:tcPr>
          <w:p w14:paraId="3BB9AB01" w14:textId="77777777" w:rsidR="00D16C2A" w:rsidRDefault="00D16C2A" w:rsidP="00724D41">
            <w:pPr>
              <w:spacing w:line="276" w:lineRule="auto"/>
              <w:rPr>
                <w:rFonts w:ascii="Rockwell" w:hAnsi="Rockwell"/>
                <w:sz w:val="24"/>
                <w:szCs w:val="24"/>
              </w:rPr>
            </w:pPr>
            <w:r>
              <w:rPr>
                <w:rFonts w:ascii="Rockwell" w:hAnsi="Rockwell"/>
                <w:sz w:val="24"/>
                <w:szCs w:val="24"/>
              </w:rPr>
              <w:t xml:space="preserve">“…none of the busy afternoon crew of Street Cleaners, Landscape Workers, and Food Delivery people who usually populated the community at that time of day.” </w:t>
            </w:r>
          </w:p>
        </w:tc>
        <w:tc>
          <w:tcPr>
            <w:tcW w:w="2039" w:type="dxa"/>
          </w:tcPr>
          <w:p w14:paraId="5CE21DED" w14:textId="77777777" w:rsidR="00D16C2A" w:rsidRDefault="00D16C2A" w:rsidP="00D16C2A">
            <w:pPr>
              <w:rPr>
                <w:rFonts w:ascii="Rockwell" w:hAnsi="Rockwell"/>
                <w:sz w:val="24"/>
                <w:szCs w:val="24"/>
              </w:rPr>
            </w:pPr>
            <w:r>
              <w:rPr>
                <w:rFonts w:ascii="Rockwell" w:hAnsi="Rockwell"/>
                <w:sz w:val="24"/>
                <w:szCs w:val="24"/>
              </w:rPr>
              <w:t>2</w:t>
            </w:r>
          </w:p>
        </w:tc>
        <w:tc>
          <w:tcPr>
            <w:tcW w:w="7555" w:type="dxa"/>
          </w:tcPr>
          <w:p w14:paraId="69A301C2" w14:textId="77777777" w:rsidR="00D16C2A" w:rsidRPr="00D16C2A" w:rsidRDefault="00D16C2A" w:rsidP="00D16C2A">
            <w:pPr>
              <w:rPr>
                <w:rFonts w:ascii="Rockwell" w:hAnsi="Rockwell"/>
                <w:sz w:val="24"/>
                <w:szCs w:val="24"/>
              </w:rPr>
            </w:pPr>
          </w:p>
        </w:tc>
      </w:tr>
      <w:tr w:rsidR="00D16C2A" w14:paraId="70E591B2" w14:textId="77777777" w:rsidTr="00D16C2A">
        <w:tc>
          <w:tcPr>
            <w:tcW w:w="4796" w:type="dxa"/>
          </w:tcPr>
          <w:p w14:paraId="3EC3242B" w14:textId="77777777" w:rsidR="00D16C2A" w:rsidRDefault="00D16C2A" w:rsidP="00724D41">
            <w:pPr>
              <w:spacing w:line="276" w:lineRule="auto"/>
              <w:rPr>
                <w:rFonts w:ascii="Rockwell" w:hAnsi="Rockwell"/>
                <w:sz w:val="24"/>
                <w:szCs w:val="24"/>
              </w:rPr>
            </w:pPr>
            <w:r>
              <w:rPr>
                <w:rFonts w:ascii="Rockwell" w:hAnsi="Rockwell"/>
                <w:sz w:val="24"/>
                <w:szCs w:val="24"/>
              </w:rPr>
              <w:t>“Needless to say, he will be released… for a contributing citizen to be released from the community was a final decision, a terrible punishment, an overwhelming statement of failure.”</w:t>
            </w:r>
          </w:p>
        </w:tc>
        <w:tc>
          <w:tcPr>
            <w:tcW w:w="2039" w:type="dxa"/>
          </w:tcPr>
          <w:p w14:paraId="5F4F66E0" w14:textId="77777777" w:rsidR="00D16C2A" w:rsidRDefault="00D16C2A" w:rsidP="00D16C2A">
            <w:pPr>
              <w:rPr>
                <w:rFonts w:ascii="Rockwell" w:hAnsi="Rockwell"/>
                <w:sz w:val="24"/>
                <w:szCs w:val="24"/>
              </w:rPr>
            </w:pPr>
            <w:r>
              <w:rPr>
                <w:rFonts w:ascii="Rockwell" w:hAnsi="Rockwell"/>
                <w:sz w:val="24"/>
                <w:szCs w:val="24"/>
              </w:rPr>
              <w:t>3</w:t>
            </w:r>
          </w:p>
        </w:tc>
        <w:tc>
          <w:tcPr>
            <w:tcW w:w="7555" w:type="dxa"/>
          </w:tcPr>
          <w:p w14:paraId="042A96BD" w14:textId="77777777" w:rsidR="00D16C2A" w:rsidRPr="00D16C2A" w:rsidRDefault="00D16C2A" w:rsidP="00D16C2A">
            <w:pPr>
              <w:rPr>
                <w:rFonts w:ascii="Rockwell" w:hAnsi="Rockwell"/>
                <w:sz w:val="24"/>
                <w:szCs w:val="24"/>
              </w:rPr>
            </w:pPr>
          </w:p>
        </w:tc>
      </w:tr>
      <w:tr w:rsidR="00D16C2A" w14:paraId="1FBDF3F4" w14:textId="77777777" w:rsidTr="00D16C2A">
        <w:tc>
          <w:tcPr>
            <w:tcW w:w="4796" w:type="dxa"/>
          </w:tcPr>
          <w:p w14:paraId="32134CFB" w14:textId="77777777" w:rsidR="00D16C2A" w:rsidRDefault="00D16C2A" w:rsidP="00724D41">
            <w:pPr>
              <w:spacing w:line="276" w:lineRule="auto"/>
              <w:rPr>
                <w:rFonts w:ascii="Rockwell" w:hAnsi="Rockwell"/>
                <w:sz w:val="24"/>
                <w:szCs w:val="24"/>
              </w:rPr>
            </w:pPr>
            <w:r>
              <w:rPr>
                <w:rFonts w:ascii="Rockwell" w:hAnsi="Rockwell"/>
                <w:sz w:val="24"/>
                <w:szCs w:val="24"/>
              </w:rPr>
              <w:t>“’We accept your apology, Asher.’ The class recited the standard response in unison.”</w:t>
            </w:r>
          </w:p>
        </w:tc>
        <w:tc>
          <w:tcPr>
            <w:tcW w:w="2039" w:type="dxa"/>
          </w:tcPr>
          <w:p w14:paraId="297D01A4" w14:textId="77777777" w:rsidR="00D16C2A" w:rsidRDefault="00D16C2A" w:rsidP="00D16C2A">
            <w:pPr>
              <w:rPr>
                <w:rFonts w:ascii="Rockwell" w:hAnsi="Rockwell"/>
                <w:sz w:val="24"/>
                <w:szCs w:val="24"/>
              </w:rPr>
            </w:pPr>
            <w:r>
              <w:rPr>
                <w:rFonts w:ascii="Rockwell" w:hAnsi="Rockwell"/>
                <w:sz w:val="24"/>
                <w:szCs w:val="24"/>
              </w:rPr>
              <w:t>5</w:t>
            </w:r>
          </w:p>
        </w:tc>
        <w:tc>
          <w:tcPr>
            <w:tcW w:w="7555" w:type="dxa"/>
          </w:tcPr>
          <w:p w14:paraId="3BB4BCDB" w14:textId="77777777" w:rsidR="00D16C2A" w:rsidRPr="00D16C2A" w:rsidRDefault="00D16C2A" w:rsidP="00D16C2A">
            <w:pPr>
              <w:rPr>
                <w:rFonts w:ascii="Rockwell" w:hAnsi="Rockwell"/>
                <w:sz w:val="24"/>
                <w:szCs w:val="24"/>
              </w:rPr>
            </w:pPr>
          </w:p>
        </w:tc>
      </w:tr>
      <w:tr w:rsidR="00D16C2A" w14:paraId="77CE9FFF" w14:textId="77777777" w:rsidTr="00D16C2A">
        <w:tc>
          <w:tcPr>
            <w:tcW w:w="4796" w:type="dxa"/>
          </w:tcPr>
          <w:p w14:paraId="55449BAD" w14:textId="77777777" w:rsidR="00D16C2A" w:rsidRDefault="00D16C2A" w:rsidP="00724D41">
            <w:pPr>
              <w:spacing w:line="276" w:lineRule="auto"/>
              <w:rPr>
                <w:rFonts w:ascii="Rockwell" w:hAnsi="Rockwell"/>
                <w:sz w:val="24"/>
                <w:szCs w:val="24"/>
              </w:rPr>
            </w:pPr>
            <w:r>
              <w:rPr>
                <w:rFonts w:ascii="Rockwell" w:hAnsi="Rockwell"/>
                <w:sz w:val="24"/>
                <w:szCs w:val="24"/>
              </w:rPr>
              <w:t xml:space="preserve">“It was one of the rituals, the evening telling of feelings.” </w:t>
            </w:r>
          </w:p>
        </w:tc>
        <w:tc>
          <w:tcPr>
            <w:tcW w:w="2039" w:type="dxa"/>
          </w:tcPr>
          <w:p w14:paraId="441512FD" w14:textId="77777777" w:rsidR="00D16C2A" w:rsidRDefault="00D16C2A" w:rsidP="00D16C2A">
            <w:pPr>
              <w:rPr>
                <w:rFonts w:ascii="Rockwell" w:hAnsi="Rockwell"/>
                <w:sz w:val="24"/>
                <w:szCs w:val="24"/>
              </w:rPr>
            </w:pPr>
            <w:r>
              <w:rPr>
                <w:rFonts w:ascii="Rockwell" w:hAnsi="Rockwell"/>
                <w:sz w:val="24"/>
                <w:szCs w:val="24"/>
              </w:rPr>
              <w:t>6</w:t>
            </w:r>
          </w:p>
        </w:tc>
        <w:tc>
          <w:tcPr>
            <w:tcW w:w="7555" w:type="dxa"/>
          </w:tcPr>
          <w:p w14:paraId="77865743" w14:textId="77777777" w:rsidR="00D16C2A" w:rsidRPr="00D16C2A" w:rsidRDefault="00D16C2A" w:rsidP="00D16C2A">
            <w:pPr>
              <w:rPr>
                <w:rFonts w:ascii="Rockwell" w:hAnsi="Rockwell"/>
                <w:sz w:val="24"/>
                <w:szCs w:val="24"/>
              </w:rPr>
            </w:pPr>
          </w:p>
        </w:tc>
      </w:tr>
      <w:tr w:rsidR="00D16C2A" w14:paraId="1A98DAF8" w14:textId="77777777" w:rsidTr="00D16C2A">
        <w:tc>
          <w:tcPr>
            <w:tcW w:w="4796" w:type="dxa"/>
          </w:tcPr>
          <w:p w14:paraId="4CDCE0D0" w14:textId="77777777" w:rsidR="00D16C2A" w:rsidRDefault="00D16C2A" w:rsidP="00724D41">
            <w:pPr>
              <w:spacing w:line="276" w:lineRule="auto"/>
              <w:rPr>
                <w:rFonts w:ascii="Rockwell" w:hAnsi="Rockwell"/>
                <w:sz w:val="24"/>
                <w:szCs w:val="24"/>
              </w:rPr>
            </w:pPr>
            <w:r>
              <w:rPr>
                <w:rFonts w:ascii="Rockwell" w:hAnsi="Rockwell"/>
                <w:sz w:val="24"/>
                <w:szCs w:val="24"/>
              </w:rPr>
              <w:t>“Release of the elderly, which was a time of celebration for a life well and fully lived; and release of a newchild, which always brought a senses of what-could-we-have-done.”</w:t>
            </w:r>
          </w:p>
        </w:tc>
        <w:tc>
          <w:tcPr>
            <w:tcW w:w="2039" w:type="dxa"/>
          </w:tcPr>
          <w:p w14:paraId="50A96A0C" w14:textId="77777777" w:rsidR="00D16C2A" w:rsidRDefault="00D16C2A" w:rsidP="00D16C2A">
            <w:pPr>
              <w:rPr>
                <w:rFonts w:ascii="Rockwell" w:hAnsi="Rockwell"/>
                <w:sz w:val="24"/>
                <w:szCs w:val="24"/>
              </w:rPr>
            </w:pPr>
            <w:r>
              <w:rPr>
                <w:rFonts w:ascii="Rockwell" w:hAnsi="Rockwell"/>
                <w:sz w:val="24"/>
                <w:szCs w:val="24"/>
              </w:rPr>
              <w:t>10</w:t>
            </w:r>
          </w:p>
        </w:tc>
        <w:tc>
          <w:tcPr>
            <w:tcW w:w="7555" w:type="dxa"/>
          </w:tcPr>
          <w:p w14:paraId="0E562A13" w14:textId="77777777" w:rsidR="00D16C2A" w:rsidRPr="00D16C2A" w:rsidRDefault="00D16C2A" w:rsidP="00D16C2A">
            <w:pPr>
              <w:rPr>
                <w:rFonts w:ascii="Rockwell" w:hAnsi="Rockwell"/>
                <w:sz w:val="24"/>
                <w:szCs w:val="24"/>
              </w:rPr>
            </w:pPr>
          </w:p>
        </w:tc>
      </w:tr>
      <w:tr w:rsidR="00D16C2A" w14:paraId="404E08C0" w14:textId="77777777" w:rsidTr="00D16C2A">
        <w:tc>
          <w:tcPr>
            <w:tcW w:w="4796" w:type="dxa"/>
          </w:tcPr>
          <w:p w14:paraId="75151B2E" w14:textId="77777777" w:rsidR="00D16C2A" w:rsidRDefault="00D16C2A" w:rsidP="00724D41">
            <w:pPr>
              <w:spacing w:line="276" w:lineRule="auto"/>
              <w:rPr>
                <w:rFonts w:ascii="Rockwell" w:hAnsi="Rockwell"/>
                <w:sz w:val="24"/>
                <w:szCs w:val="24"/>
              </w:rPr>
            </w:pPr>
            <w:r>
              <w:rPr>
                <w:rFonts w:ascii="Rockwell" w:hAnsi="Rockwell"/>
                <w:sz w:val="24"/>
                <w:szCs w:val="24"/>
              </w:rPr>
              <w:t>“He remembered the excitement, the conversations at home, wondering about her: how she would look, who she would be, how she would fit into their established family unit.”</w:t>
            </w:r>
          </w:p>
        </w:tc>
        <w:tc>
          <w:tcPr>
            <w:tcW w:w="2039" w:type="dxa"/>
          </w:tcPr>
          <w:p w14:paraId="45C0B1AA" w14:textId="77777777" w:rsidR="00D16C2A" w:rsidRDefault="00D16C2A" w:rsidP="00D16C2A">
            <w:pPr>
              <w:rPr>
                <w:rFonts w:ascii="Rockwell" w:hAnsi="Rockwell"/>
                <w:sz w:val="24"/>
                <w:szCs w:val="24"/>
              </w:rPr>
            </w:pPr>
            <w:r>
              <w:rPr>
                <w:rFonts w:ascii="Rockwell" w:hAnsi="Rockwell"/>
                <w:sz w:val="24"/>
                <w:szCs w:val="24"/>
              </w:rPr>
              <w:t>16</w:t>
            </w:r>
          </w:p>
        </w:tc>
        <w:tc>
          <w:tcPr>
            <w:tcW w:w="7555" w:type="dxa"/>
          </w:tcPr>
          <w:p w14:paraId="0C6CADA3" w14:textId="77777777" w:rsidR="00D16C2A" w:rsidRPr="00D16C2A" w:rsidRDefault="00D16C2A" w:rsidP="00D16C2A">
            <w:pPr>
              <w:rPr>
                <w:rFonts w:ascii="Rockwell" w:hAnsi="Rockwell"/>
                <w:sz w:val="24"/>
                <w:szCs w:val="24"/>
              </w:rPr>
            </w:pPr>
          </w:p>
        </w:tc>
      </w:tr>
      <w:tr w:rsidR="00D16C2A" w14:paraId="5A5C785E" w14:textId="77777777" w:rsidTr="00D16C2A">
        <w:tc>
          <w:tcPr>
            <w:tcW w:w="4796" w:type="dxa"/>
          </w:tcPr>
          <w:p w14:paraId="0CB292FB" w14:textId="77777777" w:rsidR="00D16C2A" w:rsidRDefault="00D16C2A" w:rsidP="00724D41">
            <w:pPr>
              <w:spacing w:line="276" w:lineRule="auto"/>
              <w:rPr>
                <w:rFonts w:ascii="Rockwell" w:hAnsi="Rockwell"/>
                <w:sz w:val="24"/>
                <w:szCs w:val="24"/>
              </w:rPr>
            </w:pPr>
            <w:r>
              <w:rPr>
                <w:rFonts w:ascii="Rockwell" w:hAnsi="Rockwell"/>
                <w:sz w:val="24"/>
                <w:szCs w:val="24"/>
              </w:rPr>
              <w:lastRenderedPageBreak/>
              <w:t xml:space="preserve">“Rules were very hard to change. Sometimes, if it was a very important rule—unlike the one governing the age for bicycles—it would have to go, eventually, to The Receiver for a decision.” </w:t>
            </w:r>
          </w:p>
        </w:tc>
        <w:tc>
          <w:tcPr>
            <w:tcW w:w="2039" w:type="dxa"/>
          </w:tcPr>
          <w:p w14:paraId="39BD69DF" w14:textId="77777777" w:rsidR="00D16C2A" w:rsidRDefault="00D16C2A" w:rsidP="00D16C2A">
            <w:pPr>
              <w:rPr>
                <w:rFonts w:ascii="Rockwell" w:hAnsi="Rockwell"/>
                <w:sz w:val="24"/>
                <w:szCs w:val="24"/>
              </w:rPr>
            </w:pPr>
            <w:r>
              <w:rPr>
                <w:rFonts w:ascii="Rockwell" w:hAnsi="Rockwell"/>
                <w:sz w:val="24"/>
                <w:szCs w:val="24"/>
              </w:rPr>
              <w:t>17</w:t>
            </w:r>
          </w:p>
        </w:tc>
        <w:tc>
          <w:tcPr>
            <w:tcW w:w="7555" w:type="dxa"/>
          </w:tcPr>
          <w:p w14:paraId="32935CD0" w14:textId="77777777" w:rsidR="00D16C2A" w:rsidRPr="00D16C2A" w:rsidRDefault="00D16C2A" w:rsidP="00D16C2A">
            <w:pPr>
              <w:rPr>
                <w:rFonts w:ascii="Rockwell" w:hAnsi="Rockwell"/>
                <w:sz w:val="24"/>
                <w:szCs w:val="24"/>
              </w:rPr>
            </w:pPr>
          </w:p>
        </w:tc>
      </w:tr>
      <w:tr w:rsidR="00D16C2A" w14:paraId="083B921C" w14:textId="77777777" w:rsidTr="00D16C2A">
        <w:tc>
          <w:tcPr>
            <w:tcW w:w="4796" w:type="dxa"/>
          </w:tcPr>
          <w:p w14:paraId="2882A210" w14:textId="77777777" w:rsidR="00D16C2A" w:rsidRDefault="00724D41" w:rsidP="00724D41">
            <w:pPr>
              <w:spacing w:line="276" w:lineRule="auto"/>
              <w:rPr>
                <w:rFonts w:ascii="Rockwell" w:hAnsi="Rockwell"/>
                <w:sz w:val="24"/>
                <w:szCs w:val="24"/>
              </w:rPr>
            </w:pPr>
            <w:r>
              <w:rPr>
                <w:rFonts w:ascii="Rockwell" w:hAnsi="Rockwell"/>
                <w:sz w:val="24"/>
                <w:szCs w:val="24"/>
              </w:rPr>
              <w:t>“The Ceremony of Twelve was the last of the Ceremonies. The most important.”</w:t>
            </w:r>
          </w:p>
        </w:tc>
        <w:tc>
          <w:tcPr>
            <w:tcW w:w="2039" w:type="dxa"/>
          </w:tcPr>
          <w:p w14:paraId="36901994" w14:textId="77777777" w:rsidR="00D16C2A" w:rsidRDefault="00724D41" w:rsidP="00D16C2A">
            <w:pPr>
              <w:rPr>
                <w:rFonts w:ascii="Rockwell" w:hAnsi="Rockwell"/>
                <w:sz w:val="24"/>
                <w:szCs w:val="24"/>
              </w:rPr>
            </w:pPr>
            <w:r>
              <w:rPr>
                <w:rFonts w:ascii="Rockwell" w:hAnsi="Rockwell"/>
                <w:sz w:val="24"/>
                <w:szCs w:val="24"/>
              </w:rPr>
              <w:t>18</w:t>
            </w:r>
          </w:p>
        </w:tc>
        <w:tc>
          <w:tcPr>
            <w:tcW w:w="7555" w:type="dxa"/>
          </w:tcPr>
          <w:p w14:paraId="51320D78" w14:textId="77777777" w:rsidR="00D16C2A" w:rsidRPr="00D16C2A" w:rsidRDefault="00D16C2A" w:rsidP="00D16C2A">
            <w:pPr>
              <w:rPr>
                <w:rFonts w:ascii="Rockwell" w:hAnsi="Rockwell"/>
                <w:sz w:val="24"/>
                <w:szCs w:val="24"/>
              </w:rPr>
            </w:pPr>
          </w:p>
        </w:tc>
      </w:tr>
      <w:tr w:rsidR="00724D41" w14:paraId="01713925" w14:textId="77777777" w:rsidTr="00D16C2A">
        <w:tc>
          <w:tcPr>
            <w:tcW w:w="4796" w:type="dxa"/>
          </w:tcPr>
          <w:p w14:paraId="7060E3A8" w14:textId="77777777" w:rsidR="00724D41" w:rsidRDefault="00724D41" w:rsidP="00724D41">
            <w:pPr>
              <w:spacing w:line="276" w:lineRule="auto"/>
              <w:rPr>
                <w:rFonts w:ascii="Rockwell" w:hAnsi="Rockwell"/>
                <w:sz w:val="24"/>
                <w:szCs w:val="24"/>
              </w:rPr>
            </w:pPr>
            <w:r>
              <w:rPr>
                <w:rFonts w:ascii="Rockwell" w:hAnsi="Rockwell"/>
                <w:sz w:val="24"/>
                <w:szCs w:val="24"/>
              </w:rPr>
              <w:t xml:space="preserve">“Almost every citizen in the community had dark eyes. His parents did, and Lily did, and so did all of his group members and friends. But there were a few exceptions… no one mentioned such things; it was not a rule, but it was considered rude to call attention to things that were unsettling or different about individuals.” </w:t>
            </w:r>
          </w:p>
        </w:tc>
        <w:tc>
          <w:tcPr>
            <w:tcW w:w="2039" w:type="dxa"/>
          </w:tcPr>
          <w:p w14:paraId="500A99AB" w14:textId="77777777" w:rsidR="00724D41" w:rsidRDefault="00724D41" w:rsidP="00D16C2A">
            <w:pPr>
              <w:rPr>
                <w:rFonts w:ascii="Rockwell" w:hAnsi="Rockwell"/>
                <w:sz w:val="24"/>
                <w:szCs w:val="24"/>
              </w:rPr>
            </w:pPr>
            <w:r>
              <w:rPr>
                <w:rFonts w:ascii="Rockwell" w:hAnsi="Rockwell"/>
                <w:sz w:val="24"/>
                <w:szCs w:val="24"/>
              </w:rPr>
              <w:t>25-26</w:t>
            </w:r>
          </w:p>
        </w:tc>
        <w:tc>
          <w:tcPr>
            <w:tcW w:w="7555" w:type="dxa"/>
          </w:tcPr>
          <w:p w14:paraId="41B615DB" w14:textId="77777777" w:rsidR="00724D41" w:rsidRPr="00D16C2A" w:rsidRDefault="00724D41" w:rsidP="00D16C2A">
            <w:pPr>
              <w:rPr>
                <w:rFonts w:ascii="Rockwell" w:hAnsi="Rockwell"/>
                <w:sz w:val="24"/>
                <w:szCs w:val="24"/>
              </w:rPr>
            </w:pPr>
          </w:p>
        </w:tc>
      </w:tr>
      <w:tr w:rsidR="00724D41" w14:paraId="0D932E3A" w14:textId="77777777" w:rsidTr="00D16C2A">
        <w:tc>
          <w:tcPr>
            <w:tcW w:w="4796" w:type="dxa"/>
          </w:tcPr>
          <w:p w14:paraId="6FA9F7F6" w14:textId="77777777" w:rsidR="00724D41" w:rsidRDefault="00724D41" w:rsidP="00724D41">
            <w:pPr>
              <w:spacing w:line="276" w:lineRule="auto"/>
              <w:rPr>
                <w:rFonts w:ascii="Rockwell" w:hAnsi="Rockwell"/>
                <w:sz w:val="24"/>
                <w:szCs w:val="24"/>
              </w:rPr>
            </w:pPr>
            <w:r>
              <w:rPr>
                <w:rFonts w:ascii="Rockwell" w:hAnsi="Rockwell"/>
                <w:sz w:val="24"/>
                <w:szCs w:val="24"/>
              </w:rPr>
              <w:t xml:space="preserve">“Everyone had known, he remembered with humiliation that the announcement ATTENTION. THIS IS A REMINDER TO MALE ELEVENS THAT OBJECTS ARE NOT TO BE REMOVED FROM THE RECREATION AREAA AND THAT SNACKS ARE TO BE EATEN, NOT HOARDED had been specifically directed at him, the day last month that he had taken an apple home.” </w:t>
            </w:r>
          </w:p>
        </w:tc>
        <w:tc>
          <w:tcPr>
            <w:tcW w:w="2039" w:type="dxa"/>
          </w:tcPr>
          <w:p w14:paraId="669A890F" w14:textId="77777777" w:rsidR="00724D41" w:rsidRDefault="00724D41" w:rsidP="00D16C2A">
            <w:pPr>
              <w:rPr>
                <w:rFonts w:ascii="Rockwell" w:hAnsi="Rockwell"/>
                <w:sz w:val="24"/>
                <w:szCs w:val="24"/>
              </w:rPr>
            </w:pPr>
            <w:r>
              <w:rPr>
                <w:rFonts w:ascii="Rockwell" w:hAnsi="Rockwell"/>
                <w:sz w:val="24"/>
                <w:szCs w:val="24"/>
              </w:rPr>
              <w:t>29</w:t>
            </w:r>
          </w:p>
        </w:tc>
        <w:tc>
          <w:tcPr>
            <w:tcW w:w="7555" w:type="dxa"/>
          </w:tcPr>
          <w:p w14:paraId="5188F105" w14:textId="77777777" w:rsidR="00724D41" w:rsidRPr="00D16C2A" w:rsidRDefault="00724D41" w:rsidP="00D16C2A">
            <w:pPr>
              <w:rPr>
                <w:rFonts w:ascii="Rockwell" w:hAnsi="Rockwell"/>
                <w:sz w:val="24"/>
                <w:szCs w:val="24"/>
              </w:rPr>
            </w:pPr>
          </w:p>
        </w:tc>
      </w:tr>
      <w:tr w:rsidR="00724D41" w14:paraId="70796E1F" w14:textId="77777777" w:rsidTr="00D16C2A">
        <w:tc>
          <w:tcPr>
            <w:tcW w:w="4796" w:type="dxa"/>
          </w:tcPr>
          <w:p w14:paraId="62611FA4" w14:textId="77777777" w:rsidR="00724D41" w:rsidRDefault="00724D41" w:rsidP="00724D41">
            <w:pPr>
              <w:spacing w:line="276" w:lineRule="auto"/>
              <w:rPr>
                <w:rFonts w:ascii="Rockwell" w:hAnsi="Rockwell"/>
                <w:sz w:val="24"/>
                <w:szCs w:val="24"/>
              </w:rPr>
            </w:pPr>
            <w:r>
              <w:rPr>
                <w:rFonts w:ascii="Rockwell" w:hAnsi="Rockwell"/>
                <w:sz w:val="24"/>
                <w:szCs w:val="24"/>
              </w:rPr>
              <w:t xml:space="preserve">“The evening proceeded as all evenings did in the family unit, in the dwelling, in the community: quiet, reflective, a time for renewal and preparation for the day to come.” </w:t>
            </w:r>
          </w:p>
        </w:tc>
        <w:tc>
          <w:tcPr>
            <w:tcW w:w="2039" w:type="dxa"/>
          </w:tcPr>
          <w:p w14:paraId="4307B5BD" w14:textId="6EFEC980" w:rsidR="00724D41" w:rsidRDefault="002F0D48" w:rsidP="00D16C2A">
            <w:pPr>
              <w:rPr>
                <w:rFonts w:ascii="Rockwell" w:hAnsi="Rockwell"/>
                <w:sz w:val="24"/>
                <w:szCs w:val="24"/>
              </w:rPr>
            </w:pPr>
            <w:r>
              <w:rPr>
                <w:rFonts w:ascii="Rockwell" w:hAnsi="Rockwell"/>
                <w:sz w:val="24"/>
                <w:szCs w:val="24"/>
              </w:rPr>
              <w:t>32</w:t>
            </w:r>
            <w:bookmarkStart w:id="0" w:name="_GoBack"/>
            <w:bookmarkEnd w:id="0"/>
          </w:p>
        </w:tc>
        <w:tc>
          <w:tcPr>
            <w:tcW w:w="7555" w:type="dxa"/>
          </w:tcPr>
          <w:p w14:paraId="19D3E15D" w14:textId="77777777" w:rsidR="00724D41" w:rsidRPr="00D16C2A" w:rsidRDefault="00724D41" w:rsidP="00D16C2A">
            <w:pPr>
              <w:rPr>
                <w:rFonts w:ascii="Rockwell" w:hAnsi="Rockwell"/>
                <w:sz w:val="24"/>
                <w:szCs w:val="24"/>
              </w:rPr>
            </w:pPr>
          </w:p>
        </w:tc>
      </w:tr>
    </w:tbl>
    <w:p w14:paraId="7D828415" w14:textId="77777777" w:rsidR="00D16C2A" w:rsidRPr="00D16C2A" w:rsidRDefault="00D16C2A" w:rsidP="00D16C2A">
      <w:pPr>
        <w:rPr>
          <w:rFonts w:ascii="Rockwell" w:hAnsi="Rockwell"/>
          <w:sz w:val="28"/>
          <w:szCs w:val="28"/>
        </w:rPr>
      </w:pPr>
    </w:p>
    <w:sectPr w:rsidR="00D16C2A" w:rsidRPr="00D16C2A" w:rsidSect="00D16C2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DDA"/>
    <w:rsid w:val="00206DDA"/>
    <w:rsid w:val="002F0D48"/>
    <w:rsid w:val="00724D41"/>
    <w:rsid w:val="00D16C2A"/>
    <w:rsid w:val="00EB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21D05"/>
  <w15:chartTrackingRefBased/>
  <w15:docId w15:val="{829FC0DA-4B27-4FCF-99A8-9693D9C3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6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2473A2-AC15-4DF0-83CC-6726C75C1955}" type="doc">
      <dgm:prSet loTypeId="urn:microsoft.com/office/officeart/2005/8/layout/venn1" loCatId="relationship" qsTypeId="urn:microsoft.com/office/officeart/2005/8/quickstyle/simple1" qsCatId="simple" csTypeId="urn:microsoft.com/office/officeart/2005/8/colors/accent1_2" csCatId="accent1" phldr="1"/>
      <dgm:spPr/>
    </dgm:pt>
    <dgm:pt modelId="{B46E40CB-C637-4759-821C-CB6D05E67BFE}">
      <dgm:prSet phldrT="[Text]"/>
      <dgm:spPr/>
      <dgm:t>
        <a:bodyPr/>
        <a:lstStyle/>
        <a:p>
          <a:r>
            <a:rPr lang="en-US"/>
            <a:t> </a:t>
          </a:r>
        </a:p>
      </dgm:t>
    </dgm:pt>
    <dgm:pt modelId="{60A5DF88-9445-4164-BF2B-B4047B5D37C4}" type="parTrans" cxnId="{77FB8D28-60A0-49F9-9BE7-E42471364951}">
      <dgm:prSet/>
      <dgm:spPr/>
      <dgm:t>
        <a:bodyPr/>
        <a:lstStyle/>
        <a:p>
          <a:endParaRPr lang="en-US"/>
        </a:p>
      </dgm:t>
    </dgm:pt>
    <dgm:pt modelId="{75FE3432-E646-44AA-B82A-0F3C9FBA74F4}" type="sibTrans" cxnId="{77FB8D28-60A0-49F9-9BE7-E42471364951}">
      <dgm:prSet/>
      <dgm:spPr/>
      <dgm:t>
        <a:bodyPr/>
        <a:lstStyle/>
        <a:p>
          <a:endParaRPr lang="en-US"/>
        </a:p>
      </dgm:t>
    </dgm:pt>
    <dgm:pt modelId="{064928A7-D2C6-4234-ACF2-3010C3C7EFCB}">
      <dgm:prSet phldrT="[Text]"/>
      <dgm:spPr/>
      <dgm:t>
        <a:bodyPr/>
        <a:lstStyle/>
        <a:p>
          <a:r>
            <a:rPr lang="en-US"/>
            <a:t> </a:t>
          </a:r>
        </a:p>
      </dgm:t>
    </dgm:pt>
    <dgm:pt modelId="{00E7C30B-FA13-4647-9D00-68DBF7BAFCCD}" type="parTrans" cxnId="{0725BAF6-37CD-42F7-A618-0E4665C3DB4F}">
      <dgm:prSet/>
      <dgm:spPr/>
      <dgm:t>
        <a:bodyPr/>
        <a:lstStyle/>
        <a:p>
          <a:endParaRPr lang="en-US"/>
        </a:p>
      </dgm:t>
    </dgm:pt>
    <dgm:pt modelId="{AED57EF0-14AA-40FD-95B6-04979A5F0849}" type="sibTrans" cxnId="{0725BAF6-37CD-42F7-A618-0E4665C3DB4F}">
      <dgm:prSet/>
      <dgm:spPr/>
      <dgm:t>
        <a:bodyPr/>
        <a:lstStyle/>
        <a:p>
          <a:endParaRPr lang="en-US"/>
        </a:p>
      </dgm:t>
    </dgm:pt>
    <dgm:pt modelId="{09F3DED2-0F19-448B-8BE3-2CB3311F3512}" type="pres">
      <dgm:prSet presAssocID="{A02473A2-AC15-4DF0-83CC-6726C75C1955}" presName="compositeShape" presStyleCnt="0">
        <dgm:presLayoutVars>
          <dgm:chMax val="7"/>
          <dgm:dir/>
          <dgm:resizeHandles val="exact"/>
        </dgm:presLayoutVars>
      </dgm:prSet>
      <dgm:spPr/>
    </dgm:pt>
    <dgm:pt modelId="{41C429D8-F952-43B4-A41B-8E34ECC955FD}" type="pres">
      <dgm:prSet presAssocID="{B46E40CB-C637-4759-821C-CB6D05E67BFE}" presName="circ1" presStyleLbl="vennNode1" presStyleIdx="0" presStyleCnt="2"/>
      <dgm:spPr/>
      <dgm:t>
        <a:bodyPr/>
        <a:lstStyle/>
        <a:p>
          <a:endParaRPr lang="en-US"/>
        </a:p>
      </dgm:t>
    </dgm:pt>
    <dgm:pt modelId="{60B7E320-5F61-4163-871E-5209E5177A40}" type="pres">
      <dgm:prSet presAssocID="{B46E40CB-C637-4759-821C-CB6D05E67BFE}" presName="circ1Tx" presStyleLbl="revTx" presStyleIdx="0" presStyleCnt="0">
        <dgm:presLayoutVars>
          <dgm:chMax val="0"/>
          <dgm:chPref val="0"/>
          <dgm:bulletEnabled val="1"/>
        </dgm:presLayoutVars>
      </dgm:prSet>
      <dgm:spPr/>
      <dgm:t>
        <a:bodyPr/>
        <a:lstStyle/>
        <a:p>
          <a:endParaRPr lang="en-US"/>
        </a:p>
      </dgm:t>
    </dgm:pt>
    <dgm:pt modelId="{A53C799E-F832-4FC8-A6DE-2E3A9702DE09}" type="pres">
      <dgm:prSet presAssocID="{064928A7-D2C6-4234-ACF2-3010C3C7EFCB}" presName="circ2" presStyleLbl="vennNode1" presStyleIdx="1" presStyleCnt="2"/>
      <dgm:spPr/>
      <dgm:t>
        <a:bodyPr/>
        <a:lstStyle/>
        <a:p>
          <a:endParaRPr lang="en-US"/>
        </a:p>
      </dgm:t>
    </dgm:pt>
    <dgm:pt modelId="{FBA8B421-BC40-4B78-892E-D7DED508AFE5}" type="pres">
      <dgm:prSet presAssocID="{064928A7-D2C6-4234-ACF2-3010C3C7EFCB}" presName="circ2Tx" presStyleLbl="revTx" presStyleIdx="0" presStyleCnt="0">
        <dgm:presLayoutVars>
          <dgm:chMax val="0"/>
          <dgm:chPref val="0"/>
          <dgm:bulletEnabled val="1"/>
        </dgm:presLayoutVars>
      </dgm:prSet>
      <dgm:spPr/>
      <dgm:t>
        <a:bodyPr/>
        <a:lstStyle/>
        <a:p>
          <a:endParaRPr lang="en-US"/>
        </a:p>
      </dgm:t>
    </dgm:pt>
  </dgm:ptLst>
  <dgm:cxnLst>
    <dgm:cxn modelId="{522E24AE-D019-46CA-979A-86A25DFA3045}" type="presOf" srcId="{A02473A2-AC15-4DF0-83CC-6726C75C1955}" destId="{09F3DED2-0F19-448B-8BE3-2CB3311F3512}" srcOrd="0" destOrd="0" presId="urn:microsoft.com/office/officeart/2005/8/layout/venn1"/>
    <dgm:cxn modelId="{160E7F89-AB1C-4468-BE2A-7C95DA5619F1}" type="presOf" srcId="{064928A7-D2C6-4234-ACF2-3010C3C7EFCB}" destId="{A53C799E-F832-4FC8-A6DE-2E3A9702DE09}" srcOrd="0" destOrd="0" presId="urn:microsoft.com/office/officeart/2005/8/layout/venn1"/>
    <dgm:cxn modelId="{0725BAF6-37CD-42F7-A618-0E4665C3DB4F}" srcId="{A02473A2-AC15-4DF0-83CC-6726C75C1955}" destId="{064928A7-D2C6-4234-ACF2-3010C3C7EFCB}" srcOrd="1" destOrd="0" parTransId="{00E7C30B-FA13-4647-9D00-68DBF7BAFCCD}" sibTransId="{AED57EF0-14AA-40FD-95B6-04979A5F0849}"/>
    <dgm:cxn modelId="{72C5E0D8-2998-44E6-B98E-160C94202663}" type="presOf" srcId="{B46E40CB-C637-4759-821C-CB6D05E67BFE}" destId="{41C429D8-F952-43B4-A41B-8E34ECC955FD}" srcOrd="0" destOrd="0" presId="urn:microsoft.com/office/officeart/2005/8/layout/venn1"/>
    <dgm:cxn modelId="{DA72F17D-C885-4C08-BF5B-05BD6341025A}" type="presOf" srcId="{064928A7-D2C6-4234-ACF2-3010C3C7EFCB}" destId="{FBA8B421-BC40-4B78-892E-D7DED508AFE5}" srcOrd="1" destOrd="0" presId="urn:microsoft.com/office/officeart/2005/8/layout/venn1"/>
    <dgm:cxn modelId="{77FB8D28-60A0-49F9-9BE7-E42471364951}" srcId="{A02473A2-AC15-4DF0-83CC-6726C75C1955}" destId="{B46E40CB-C637-4759-821C-CB6D05E67BFE}" srcOrd="0" destOrd="0" parTransId="{60A5DF88-9445-4164-BF2B-B4047B5D37C4}" sibTransId="{75FE3432-E646-44AA-B82A-0F3C9FBA74F4}"/>
    <dgm:cxn modelId="{FFA6E609-F1C2-414B-A13B-59D82F08452D}" type="presOf" srcId="{B46E40CB-C637-4759-821C-CB6D05E67BFE}" destId="{60B7E320-5F61-4163-871E-5209E5177A40}" srcOrd="1" destOrd="0" presId="urn:microsoft.com/office/officeart/2005/8/layout/venn1"/>
    <dgm:cxn modelId="{D4F19DD0-7227-467D-956C-38C2E53BED8C}" type="presParOf" srcId="{09F3DED2-0F19-448B-8BE3-2CB3311F3512}" destId="{41C429D8-F952-43B4-A41B-8E34ECC955FD}" srcOrd="0" destOrd="0" presId="urn:microsoft.com/office/officeart/2005/8/layout/venn1"/>
    <dgm:cxn modelId="{DF19C32D-B171-4421-8510-1F1DAB5CB6DA}" type="presParOf" srcId="{09F3DED2-0F19-448B-8BE3-2CB3311F3512}" destId="{60B7E320-5F61-4163-871E-5209E5177A40}" srcOrd="1" destOrd="0" presId="urn:microsoft.com/office/officeart/2005/8/layout/venn1"/>
    <dgm:cxn modelId="{1597D8D1-5447-452D-BB12-68780768D8FF}" type="presParOf" srcId="{09F3DED2-0F19-448B-8BE3-2CB3311F3512}" destId="{A53C799E-F832-4FC8-A6DE-2E3A9702DE09}" srcOrd="2" destOrd="0" presId="urn:microsoft.com/office/officeart/2005/8/layout/venn1"/>
    <dgm:cxn modelId="{95463A90-54AD-4738-B911-53CFD5B6A056}" type="presParOf" srcId="{09F3DED2-0F19-448B-8BE3-2CB3311F3512}" destId="{FBA8B421-BC40-4B78-892E-D7DED508AFE5}" srcOrd="3" destOrd="0" presId="urn:microsoft.com/office/officeart/2005/8/layout/venn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C429D8-F952-43B4-A41B-8E34ECC955FD}">
      <dsp:nvSpPr>
        <dsp:cNvPr id="0" name=""/>
        <dsp:cNvSpPr/>
      </dsp:nvSpPr>
      <dsp:spPr>
        <a:xfrm>
          <a:off x="197596" y="491918"/>
          <a:ext cx="4874037" cy="487403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r>
            <a:rPr lang="en-US" sz="6500" kern="1200"/>
            <a:t> </a:t>
          </a:r>
        </a:p>
      </dsp:txBody>
      <dsp:txXfrm>
        <a:off x="878204" y="1066672"/>
        <a:ext cx="2810256" cy="3724530"/>
      </dsp:txXfrm>
    </dsp:sp>
    <dsp:sp modelId="{A53C799E-F832-4FC8-A6DE-2E3A9702DE09}">
      <dsp:nvSpPr>
        <dsp:cNvPr id="0" name=""/>
        <dsp:cNvSpPr/>
      </dsp:nvSpPr>
      <dsp:spPr>
        <a:xfrm>
          <a:off x="3710416" y="491918"/>
          <a:ext cx="4874037" cy="4874037"/>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2889250">
            <a:lnSpc>
              <a:spcPct val="90000"/>
            </a:lnSpc>
            <a:spcBef>
              <a:spcPct val="0"/>
            </a:spcBef>
            <a:spcAft>
              <a:spcPct val="35000"/>
            </a:spcAft>
          </a:pPr>
          <a:r>
            <a:rPr lang="en-US" sz="6500" kern="1200"/>
            <a:t> </a:t>
          </a:r>
        </a:p>
      </dsp:txBody>
      <dsp:txXfrm>
        <a:off x="5093589" y="1066672"/>
        <a:ext cx="2810256" cy="372453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Metro Nashville Public Schools</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Mattingly, Lindsey F</dc:creator>
  <cp:keywords/>
  <dc:description/>
  <cp:lastModifiedBy>Mattingly, Lindsey F</cp:lastModifiedBy>
  <cp:revision>2</cp:revision>
  <dcterms:created xsi:type="dcterms:W3CDTF">2018-04-06T18:46:00Z</dcterms:created>
  <dcterms:modified xsi:type="dcterms:W3CDTF">2018-04-06T19:26:00Z</dcterms:modified>
</cp:coreProperties>
</file>